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61</w:t>
      </w:r>
    </w:p>
    <w:p>
      <w:r>
        <w:t>Bundesgericht (BGE), 2000-05-19, DE</w:t>
      </w:r>
    </w:p>
    <w:p>
      <w:r>
        <w:rPr>
          <w:b/>
        </w:rPr>
        <w:t xml:space="preserve">Quelle: </w:t>
      </w:r>
      <w:r>
        <w:t>https://mcp.opencaselaw.ch/entscheid/bge_126 V 61</w:t>
      </w:r>
    </w:p>
    <w:p>
      <w:r>
        <w:t>FR: ATF 126 V 61</w:t>
      </w:r>
    </w:p>
    <w:p>
      <w:r>
        <w:t>IT: DTF 126 V 61</w:t>
      </w:r>
    </w:p>
    <w:p>
      <w:pPr>
        <w:pStyle w:val="Heading2"/>
      </w:pPr>
      <w:r>
        <w:t>Regeste</w:t>
      </w:r>
    </w:p>
    <w:p>
      <w:r>
        <w:t>Regeste Art. 52 AHVG: Dauer der Haftung des Verwaltungsratsmitglieds einer Aktiengesellschaft. - Massgebend für die Dauer der Haftung des Verwaltungsratsmitglieds ist der Zeitpunkt der tatsächlichen Beendigung des Mandates. - Auf diesen Zeitpunkt ist selbst dann abzustellen, wenn die Löschung des Eintrages im Handelsregister unterlassen wird. Gutglaubensschutz im Rahmen des Handelsregistereintrages verneint.</w:t>
      </w:r>
    </w:p>
    <w:p>
      <w:pPr>
        <w:pStyle w:val="Heading2"/>
      </w:pPr>
      <w:r>
        <w:t>Erwägungen</w:t>
      </w:r>
    </w:p>
    <w:p>
      <w:r>
        <w:rPr>
          <w:b/>
        </w:rPr>
        <w:t>E. 4</w:t>
      </w:r>
    </w:p>
    <w:p>
      <w:r>
        <w:t>a) Nach ständiger Rechtsprechung zu Art. 52 AHVG ( BGE 123 V 173 Erw. 3a, BGE 112 V 4 Erw. 3c, BGE 109 V 93 Erw. 13; vgl. auch THOMAS NUSSBAUMER, Die Haftung des Verwaltungsrates nach Art. 52 AHVG , in: AJP 1996 S. 1081) dauert die Verantwortlichkeit eines Verwaltungsrates in der Regel bis zum Moment seines tatsächlichen Austritts aus dem Verwaltungsrat, und nicht bis zum Zeitpunkt der Löschung seiner Funktion im Handelsregister. Das gilt jedenfalls in denjenigen Fällen, in denen die Betroffenen, nach ihrer Demission, keinen Einfluss mehr auf den Gang der Geschäfte und keine Entschädigung für ihre Verwaltungsratsstellung erhalten haben. Mit anderen Worten kann ein Verwaltungsrat nur für Schaden haftbar erklärt werden, der auf die Nichtbezahlung von Beiträgen zurückzuführen ist, welche im Zeitpunkt seines effektiven Austrittes entstanden und fällig waren. Vorbehalten bleibt der Fall, in dem der BGE 126 V 61 S. 62 Schaden durch Handlungen verursacht worden ist, deren Wirkungen sich jedoch erst nach seinem Rücktritt als Verwaltungsrat entfaltet haben. b) Mit Blick auf die öffentlichrechtliche Natur und die Funktion der Haftung nach Art. 52 AHVG , welche darin liegen, dass Arbeitgeber und Organe ihren AHV-rechtlichen Pflichten ( Art. 51 AHVG ) nachkommen sollen und im Falle ihrer Verletzung für den dadurch angerichteten Schaden Ersatz zu leisten haben, rechtfertigt es sich, diese Rechtsprechung auch auf diejenigen Konstellationen anzuwenden, in denen das Verwaltungsratsmandat nicht wegen Rücktritts oder Abberufung beendet wird, sondern zufolge fehlender Wiederwahl nach Ablauf der gesetzlichen oder statutarischen Amtsdauer, wenn besondere Verhältnisse im Einzelfall vermuten lassen, dass eine Wiederwahl nicht stattgefunden hätte. Denn diesen beiden Sachverhalten ist gemeinsam, dass die Funktion des Verwaltungsrates in der Firma tatsächlich nicht mehr ausgeübt wird, welcher Umstand für ihre Gleichbehandlung spricht (zur Bedeutung der Rechtsgleichheit im Rahmen der materiellen Gesetzesauslegung vgl. BGE 119 V 130 Erw. 5b). Dass die Verhältnisse bei stillschweigendem Auslaufen und Nichterneuerung des Verwaltungsratsmandates nach Ablauf der Amtsdauer nicht so klar zu Tage treten wie bei den sich in entsprechenden Erklärungen, Protokollen usw. niederschlagenden Akten des Rücktritts und der Abberufung, stellt keinen Grund für eine materiellrechtlich ungleiche Behandlung dar. Vielmehr ist in der ersten Fallgruppe in beweismässiger Hinsicht zu verlangen, dass die fehlenden Bindungen, also die vollständige Loslösung des früheren Organs von der Firma, klar ausgewiesen sind. c) Indessen stellt sich die vom Eidg. Versicherungsgericht bereits im nicht veröffentlichten Urteil G. vom 19. September 1997 aufgeworfene und schliesslich offen gelassene Frage, ob der ausscheidende Verwaltungsrat - im Hinblick auf den Schutz des guten Glaubens Dritter - für die Folgen seiner Unterlassung, die Löschung der Verwaltungsratsstellung beim Handelsregisterführer anzumelden ( Art. 25a HRegV ), einzustehen habe. Aus den im Urteil G. angestellten Überlegungen ist dies, entgegen der von der Vorinstanz vertretenen Auffassung, zu verneinen: Die Verantwortlichkeit des Verwaltungsrates nach Art. 52 AHVG beruht auf der gesetzlichen Pflicht, für die Bezahlung der geschuldeten Sozialversicherungsbeiträge zu sorgen. Damit unterscheidet sich die Situation der Ausgleichskasse wesentlich von derjenigen eines privaten Gläubigers, der u.a. auf der Grundlage der handelsregisterlich ausgewiesenen BGE 126 V 61 S. 63 Besetzung des Verwaltungsrates die Bonität der Gesellschaft einschätzt und sich gestützt darauf entschliesst, ob er mit ihr Geschäfte eingeht.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